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B159" w14:textId="77777777" w:rsidR="00FF56B1" w:rsidRPr="00FF56B1" w:rsidRDefault="00FF56B1" w:rsidP="00FF56B1">
      <w:pPr>
        <w:jc w:val="center"/>
        <w:rPr>
          <w:b/>
          <w:bCs/>
          <w:color w:val="0F9ED5" w:themeColor="accent4"/>
        </w:rPr>
      </w:pPr>
      <w:r w:rsidRPr="00FF56B1">
        <w:rPr>
          <w:b/>
          <w:bCs/>
          <w:color w:val="0F9ED5" w:themeColor="accent4"/>
        </w:rPr>
        <w:t>Le numérique dans l’Enseignement pour Adultes en Belgique francophone</w:t>
      </w:r>
    </w:p>
    <w:p w14:paraId="3EF20BD4" w14:textId="77777777" w:rsidR="00AE51D9" w:rsidRDefault="00AE51D9" w:rsidP="00FF56B1">
      <w:pPr>
        <w:jc w:val="both"/>
        <w:rPr>
          <w:b/>
          <w:bCs/>
        </w:rPr>
      </w:pPr>
    </w:p>
    <w:p w14:paraId="41C31C3A" w14:textId="21849C26" w:rsidR="00FF56B1" w:rsidRPr="00FF56B1" w:rsidRDefault="00FF56B1" w:rsidP="00FF56B1">
      <w:pPr>
        <w:jc w:val="both"/>
      </w:pPr>
      <w:r w:rsidRPr="00FF56B1">
        <w:t>L’intégration du numérique dans l’Enseignement pour Adultes (anciennement Promotion sociale) en Belgique francophone</w:t>
      </w:r>
      <w:r>
        <w:rPr>
          <w:rStyle w:val="Appelnotedebasdep"/>
        </w:rPr>
        <w:footnoteReference w:id="1"/>
      </w:r>
      <w:r w:rsidRPr="00FF56B1">
        <w:t xml:space="preserve"> fait l’objet d’une étude exploratoire commanditée par le Cabinet de la </w:t>
      </w:r>
      <w:r w:rsidR="009335CA" w:rsidRPr="00FF56B1">
        <w:t>ministre de l’Éducation</w:t>
      </w:r>
      <w:r w:rsidRPr="00FF56B1">
        <w:t xml:space="preserve"> et de l’Enseignement pour Adultes. Cette étude s’inscrit dans le cadre du lancement du plan stratégique </w:t>
      </w:r>
      <w:r w:rsidRPr="00FF56B1">
        <w:rPr>
          <w:i/>
          <w:iCs/>
        </w:rPr>
        <w:t>Des compétences pour la vie : le Contrat 2035 de l’Enseignement pour Adultes</w:t>
      </w:r>
      <w:r>
        <w:rPr>
          <w:rStyle w:val="Appelnotedebasdep"/>
          <w:i/>
          <w:iCs/>
        </w:rPr>
        <w:footnoteReference w:id="2"/>
      </w:r>
      <w:r w:rsidRPr="00FF56B1">
        <w:t>.</w:t>
      </w:r>
    </w:p>
    <w:p w14:paraId="751EB482" w14:textId="77777777" w:rsidR="00FF56B1" w:rsidRPr="00FF56B1" w:rsidRDefault="00FF56B1" w:rsidP="00FF56B1">
      <w:pPr>
        <w:rPr>
          <w:b/>
          <w:bCs/>
        </w:rPr>
      </w:pPr>
      <w:r w:rsidRPr="00FF56B1">
        <w:rPr>
          <w:b/>
          <w:bCs/>
        </w:rPr>
        <w:t>L’Enseignement pour Adultes</w:t>
      </w:r>
    </w:p>
    <w:p w14:paraId="35FFDE75" w14:textId="77777777" w:rsidR="00FF56B1" w:rsidRPr="00FF56B1" w:rsidRDefault="00FF56B1" w:rsidP="00FF56B1">
      <w:r w:rsidRPr="00FF56B1">
        <w:t>Depuis plusieurs années, les politiques de formation en Belgique francophone encouragent l’apprentissage tout au long de la vie et reconnaissent l’Enseignement pour Adultes comme un acteur central de la qualification, de la reconversion professionnelle et de la remédiation.</w:t>
      </w:r>
    </w:p>
    <w:p w14:paraId="3405F277" w14:textId="77777777" w:rsidR="00FF56B1" w:rsidRPr="00FF56B1" w:rsidRDefault="00FF56B1" w:rsidP="00FF56B1">
      <w:r w:rsidRPr="00FF56B1">
        <w:t>Ce système d’enseignement, spécifique à la Fédération Wallonie</w:t>
      </w:r>
      <w:r w:rsidRPr="00FF56B1">
        <w:noBreakHyphen/>
        <w:t>Bruxelles, vise à offrir aux adultes une formation flexible, inclusive et professionnalisante.</w:t>
      </w:r>
    </w:p>
    <w:p w14:paraId="63338F67" w14:textId="77777777" w:rsidR="00FF56B1" w:rsidRPr="00FF56B1" w:rsidRDefault="00FF56B1" w:rsidP="00FF56B1">
      <w:pPr>
        <w:rPr>
          <w:b/>
          <w:bCs/>
        </w:rPr>
      </w:pPr>
      <w:r w:rsidRPr="00FF56B1">
        <w:rPr>
          <w:b/>
          <w:bCs/>
        </w:rPr>
        <w:t>Caractéristiques principales</w:t>
      </w:r>
    </w:p>
    <w:p w14:paraId="4C1149E5" w14:textId="77777777" w:rsidR="00FF56B1" w:rsidRPr="00FF56B1" w:rsidRDefault="00FF56B1" w:rsidP="00FF56B1">
      <w:pPr>
        <w:numPr>
          <w:ilvl w:val="0"/>
          <w:numId w:val="1"/>
        </w:numPr>
      </w:pPr>
      <w:r w:rsidRPr="00FF56B1">
        <w:rPr>
          <w:b/>
          <w:bCs/>
        </w:rPr>
        <w:t>Modularité</w:t>
      </w:r>
      <w:r w:rsidRPr="00FF56B1">
        <w:t xml:space="preserve"> : les formations sont organisées en unités d’acquis d’apprentissage (UAA), permettant des parcours progressifs, courts ou longs.</w:t>
      </w:r>
    </w:p>
    <w:p w14:paraId="4E4CAA1C" w14:textId="77777777" w:rsidR="00FF56B1" w:rsidRPr="00FF56B1" w:rsidRDefault="00FF56B1" w:rsidP="00FF56B1">
      <w:pPr>
        <w:numPr>
          <w:ilvl w:val="0"/>
          <w:numId w:val="1"/>
        </w:numPr>
      </w:pPr>
      <w:r w:rsidRPr="00FF56B1">
        <w:rPr>
          <w:b/>
          <w:bCs/>
        </w:rPr>
        <w:t>Horaires adaptés</w:t>
      </w:r>
      <w:r w:rsidRPr="00FF56B1">
        <w:t xml:space="preserve"> : cours en journée, en soirée ou le week</w:t>
      </w:r>
      <w:r w:rsidRPr="00FF56B1">
        <w:noBreakHyphen/>
        <w:t>end, compatibles avec une activité professionnelle.</w:t>
      </w:r>
    </w:p>
    <w:p w14:paraId="6E26DECB" w14:textId="77777777" w:rsidR="00FF56B1" w:rsidRPr="00FF56B1" w:rsidRDefault="00FF56B1" w:rsidP="00FF56B1">
      <w:pPr>
        <w:numPr>
          <w:ilvl w:val="0"/>
          <w:numId w:val="1"/>
        </w:numPr>
      </w:pPr>
      <w:r w:rsidRPr="00FF56B1">
        <w:rPr>
          <w:b/>
          <w:bCs/>
        </w:rPr>
        <w:t>Public diversifié</w:t>
      </w:r>
      <w:r w:rsidRPr="00FF56B1">
        <w:t xml:space="preserve"> : travailleurs, demandeurs d’emploi, personnes en reconversion, primo</w:t>
      </w:r>
      <w:r w:rsidRPr="00FF56B1">
        <w:noBreakHyphen/>
        <w:t>arrivants, adultes en reprise d’études.</w:t>
      </w:r>
    </w:p>
    <w:p w14:paraId="643DFDCA" w14:textId="77777777" w:rsidR="00FF56B1" w:rsidRPr="00FF56B1" w:rsidRDefault="00FF56B1" w:rsidP="00FF56B1">
      <w:pPr>
        <w:numPr>
          <w:ilvl w:val="0"/>
          <w:numId w:val="1"/>
        </w:numPr>
      </w:pPr>
      <w:r w:rsidRPr="00FF56B1">
        <w:rPr>
          <w:b/>
          <w:bCs/>
        </w:rPr>
        <w:t>Diplômes officiels</w:t>
      </w:r>
      <w:r w:rsidRPr="00FF56B1">
        <w:t xml:space="preserve"> : certificats et diplômes reconnus par l’État (CESS, bachelier/master, titres de qualification).</w:t>
      </w:r>
    </w:p>
    <w:p w14:paraId="393E2BE3" w14:textId="77777777" w:rsidR="00FF56B1" w:rsidRPr="00FF56B1" w:rsidRDefault="00FF56B1" w:rsidP="00FF56B1">
      <w:pPr>
        <w:numPr>
          <w:ilvl w:val="0"/>
          <w:numId w:val="1"/>
        </w:numPr>
      </w:pPr>
      <w:r w:rsidRPr="00FF56B1">
        <w:rPr>
          <w:b/>
          <w:bCs/>
        </w:rPr>
        <w:t>Finalités multiples</w:t>
      </w:r>
      <w:r w:rsidRPr="00FF56B1">
        <w:t xml:space="preserve"> : intégration sociale, qualification professionnelle, perfectionnement, remise à niveau, certification manquante, éducation citoyenne, développement personnel.</w:t>
      </w:r>
    </w:p>
    <w:p w14:paraId="212686D2" w14:textId="77777777" w:rsidR="00FF56B1" w:rsidRPr="00FF56B1" w:rsidRDefault="00FF56B1" w:rsidP="00FF56B1">
      <w:r w:rsidRPr="00FF56B1">
        <w:t>Selon le décret fondateur de 1991, l’Enseignement pour Adultes poursuit une double finalité :</w:t>
      </w:r>
    </w:p>
    <w:p w14:paraId="5E0EFA95" w14:textId="77777777" w:rsidR="00FF56B1" w:rsidRPr="00FF56B1" w:rsidRDefault="00FF56B1" w:rsidP="00FF56B1">
      <w:pPr>
        <w:numPr>
          <w:ilvl w:val="0"/>
          <w:numId w:val="2"/>
        </w:numPr>
      </w:pPr>
      <w:r w:rsidRPr="00FF56B1">
        <w:t>Favoriser l’épanouissement individuel en soutenant l’insertion professionnelle, sociale, culturelle et scolaire.</w:t>
      </w:r>
    </w:p>
    <w:p w14:paraId="7FB00D3A" w14:textId="77777777" w:rsidR="00FF56B1" w:rsidRPr="00FF56B1" w:rsidRDefault="00FF56B1" w:rsidP="00FF56B1">
      <w:pPr>
        <w:numPr>
          <w:ilvl w:val="0"/>
          <w:numId w:val="2"/>
        </w:numPr>
      </w:pPr>
      <w:r w:rsidRPr="00FF56B1">
        <w:lastRenderedPageBreak/>
        <w:t>Répondre aux besoins de formation des entreprises, administrations, milieux socioéconomiques et culturels.</w:t>
      </w:r>
    </w:p>
    <w:p w14:paraId="1FF867E1" w14:textId="30B4D479" w:rsidR="00FF56B1" w:rsidRPr="00FF56B1" w:rsidRDefault="00FF56B1" w:rsidP="007873EB">
      <w:pPr>
        <w:jc w:val="both"/>
      </w:pPr>
      <w:r w:rsidRPr="00FF56B1">
        <w:t>L’Enseignement pour Adultes entretient depuis toujours des liens étroits avec le marché du travail. Un rapport de 2023 indique qu’en 2021</w:t>
      </w:r>
      <w:r w:rsidRPr="00FF56B1">
        <w:noBreakHyphen/>
        <w:t>2022, près de 700 conventions ont été conclues avec des opérateurs de formation, des agences pour l’emploi, des organismes de réinsertion et des employeurs publics et privés (Fédération Wallonie</w:t>
      </w:r>
      <w:r w:rsidRPr="00FF56B1">
        <w:noBreakHyphen/>
        <w:t>Bruxelles, 2023). Les programmes sont par ailleurs alignés sur les référentiels du Service francophone des Métiers et des Qualifications</w:t>
      </w:r>
      <w:r>
        <w:rPr>
          <w:rStyle w:val="Appelnotedebasdep"/>
        </w:rPr>
        <w:footnoteReference w:id="3"/>
      </w:r>
      <w:r w:rsidRPr="00FF56B1">
        <w:t>.</w:t>
      </w:r>
    </w:p>
    <w:p w14:paraId="17B5D551" w14:textId="77777777" w:rsidR="00FF56B1" w:rsidRPr="00FF56B1" w:rsidRDefault="00FF56B1" w:rsidP="007873EB">
      <w:pPr>
        <w:jc w:val="both"/>
      </w:pPr>
      <w:r w:rsidRPr="00FF56B1">
        <w:t>Il est important de souligner que le public adulte présente des caractéristiques spécifiques : forte motivation, diversité socio</w:t>
      </w:r>
      <w:r w:rsidRPr="00FF56B1">
        <w:noBreakHyphen/>
        <w:t xml:space="preserve">économique et culturelle, profils variés selon les cursus (Bellal et al., 2024 ; Pirson, 2021 ; </w:t>
      </w:r>
      <w:proofErr w:type="spellStart"/>
      <w:r w:rsidRPr="00FF56B1">
        <w:t>Vanderavero</w:t>
      </w:r>
      <w:proofErr w:type="spellEnd"/>
      <w:r w:rsidRPr="00FF56B1">
        <w:t>, 2024).</w:t>
      </w:r>
    </w:p>
    <w:p w14:paraId="35C54F35" w14:textId="77777777" w:rsidR="00FF56B1" w:rsidRPr="00FF56B1" w:rsidRDefault="00FF56B1" w:rsidP="007873EB">
      <w:pPr>
        <w:jc w:val="both"/>
      </w:pPr>
      <w:r w:rsidRPr="00FF56B1">
        <w:t>En 2022</w:t>
      </w:r>
      <w:r w:rsidRPr="00FF56B1">
        <w:noBreakHyphen/>
        <w:t>2023, l’Enseignement pour Adultes comptait 131 781 étudiants, ce qui en fait le plus grand opérateur de formation d’adultes en Belgique francophone. Après une période de stabilité (2007</w:t>
      </w:r>
      <w:r w:rsidRPr="00FF56B1">
        <w:noBreakHyphen/>
        <w:t>2012) puis une hausse (2012</w:t>
      </w:r>
      <w:r w:rsidRPr="00FF56B1">
        <w:noBreakHyphen/>
        <w:t>2015), les inscriptions sont en baisse depuis 2015 (</w:t>
      </w:r>
      <w:r w:rsidRPr="00FF56B1">
        <w:noBreakHyphen/>
        <w:t xml:space="preserve">19 % au total, soit environ </w:t>
      </w:r>
      <w:r w:rsidRPr="00FF56B1">
        <w:noBreakHyphen/>
        <w:t>4 % par an). Cette diminution touche la plupart des secteurs, mais elle est particulièrement marquée en Langues et en Économie hors langues (bureautique/gestion), qui représentent à elles seules les deux tiers de la baisse (Fédération Wallonie</w:t>
      </w:r>
      <w:r w:rsidRPr="00FF56B1">
        <w:noBreakHyphen/>
        <w:t>Bruxelles, 2023).</w:t>
      </w:r>
    </w:p>
    <w:p w14:paraId="6D7C625E" w14:textId="77777777" w:rsidR="00FF56B1" w:rsidRPr="00FF56B1" w:rsidRDefault="00FF56B1" w:rsidP="00FF56B1">
      <w:pPr>
        <w:rPr>
          <w:b/>
          <w:bCs/>
        </w:rPr>
      </w:pPr>
      <w:r w:rsidRPr="00FF56B1">
        <w:rPr>
          <w:b/>
          <w:bCs/>
        </w:rPr>
        <w:t>Contexte spécifique de l’étude</w:t>
      </w:r>
    </w:p>
    <w:p w14:paraId="3C3E5C09" w14:textId="5412FCCA" w:rsidR="004D1AF8" w:rsidRDefault="00FF56B1" w:rsidP="00767AB8">
      <w:r w:rsidRPr="00FF56B1">
        <w:t>Face aux enjeux actuels</w:t>
      </w:r>
      <w:r w:rsidR="006B5157">
        <w:t>, tels que l’</w:t>
      </w:r>
      <w:r w:rsidRPr="00FF56B1">
        <w:t>évolution des inscriptions,</w:t>
      </w:r>
      <w:r w:rsidR="006B5157">
        <w:t xml:space="preserve"> les</w:t>
      </w:r>
      <w:r w:rsidRPr="00FF56B1">
        <w:t xml:space="preserve"> besoins du marché de l’emploi</w:t>
      </w:r>
      <w:r w:rsidR="006B5157">
        <w:t xml:space="preserve"> et les</w:t>
      </w:r>
      <w:r w:rsidRPr="00FF56B1">
        <w:t xml:space="preserve"> profils des apprenants</w:t>
      </w:r>
      <w:r w:rsidR="006B5157">
        <w:t>,</w:t>
      </w:r>
      <w:r w:rsidRPr="00FF56B1">
        <w:t xml:space="preserve"> le gouvernement </w:t>
      </w:r>
      <w:r w:rsidR="006B5157">
        <w:t xml:space="preserve">actuel </w:t>
      </w:r>
      <w:r w:rsidRPr="00FF56B1">
        <w:t xml:space="preserve">souhaite </w:t>
      </w:r>
      <w:r>
        <w:t>‘</w:t>
      </w:r>
      <w:r w:rsidRPr="00FF56B1">
        <w:t>renforcer et optimiser</w:t>
      </w:r>
      <w:r>
        <w:t>’</w:t>
      </w:r>
      <w:r>
        <w:rPr>
          <w:rStyle w:val="Appelnotedebasdep"/>
        </w:rPr>
        <w:footnoteReference w:id="4"/>
      </w:r>
      <w:r w:rsidRPr="00FF56B1">
        <w:t xml:space="preserve"> l’Enseignement pour Adultes dans le cadre du </w:t>
      </w:r>
      <w:r w:rsidRPr="00FF56B1">
        <w:rPr>
          <w:i/>
          <w:iCs/>
        </w:rPr>
        <w:t>Contrat 2035</w:t>
      </w:r>
      <w:r w:rsidRPr="00FF56B1">
        <w:t>, notamment via un développement accru du numérique.</w:t>
      </w:r>
      <w:r w:rsidR="004D1AF8">
        <w:t xml:space="preserve"> En effet, l</w:t>
      </w:r>
      <w:r w:rsidRPr="00FF56B1">
        <w:t xml:space="preserve">e plan stratégique </w:t>
      </w:r>
      <w:r w:rsidR="003D0482">
        <w:t xml:space="preserve">‘Contrat 2035’ </w:t>
      </w:r>
      <w:r w:rsidRPr="00FF56B1">
        <w:t xml:space="preserve">identifie le numérique comme un levier d’amélioration de la qualité et de l’accessibilité des formations. </w:t>
      </w:r>
      <w:r w:rsidR="00DB7C5E">
        <w:t>L</w:t>
      </w:r>
      <w:r w:rsidR="004D1AF8" w:rsidRPr="00FF56B1">
        <w:t>’adoption des outils digitaux est envisagée à plusieurs niveaux, allant d’usages ponctuels à des usages véritablement transformatifs, incluant l’hybridation scénarisée des enseignements (Contrat 2035 : 31).</w:t>
      </w:r>
    </w:p>
    <w:p w14:paraId="26ADD36C" w14:textId="5A8E7208" w:rsidR="00261432" w:rsidRDefault="004E065B" w:rsidP="00353191">
      <w:pPr>
        <w:jc w:val="both"/>
      </w:pPr>
      <w:r>
        <w:t>Cette ambition ce heurte à la réalité actuelle.</w:t>
      </w:r>
      <w:r w:rsidR="00335DFB">
        <w:t xml:space="preserve"> </w:t>
      </w:r>
      <w:r w:rsidR="00FF56B1" w:rsidRPr="00FF56B1">
        <w:t>Malgré les initiatives récentes, notamment depuis la pandémie de Covid</w:t>
      </w:r>
      <w:r w:rsidR="00FF56B1" w:rsidRPr="00FF56B1">
        <w:noBreakHyphen/>
        <w:t xml:space="preserve">19, </w:t>
      </w:r>
      <w:r w:rsidR="00A205A0">
        <w:t>un</w:t>
      </w:r>
      <w:r w:rsidR="00FF56B1" w:rsidRPr="00FF56B1">
        <w:t xml:space="preserve"> rapport </w:t>
      </w:r>
      <w:r w:rsidR="00A205A0">
        <w:t xml:space="preserve">récent </w:t>
      </w:r>
      <w:r w:rsidR="00FF56B1" w:rsidRPr="00FF56B1">
        <w:t xml:space="preserve">souligne que de nombreux établissements utilisent encore les plateformes </w:t>
      </w:r>
      <w:r w:rsidR="00353191">
        <w:t xml:space="preserve">(p.ex. </w:t>
      </w:r>
      <w:r w:rsidR="00FF56B1" w:rsidRPr="00FF56B1">
        <w:t xml:space="preserve">Moodle, Teams) de manière « passive et limitée », principalement comme </w:t>
      </w:r>
      <w:r w:rsidR="003563AE">
        <w:t>« </w:t>
      </w:r>
      <w:r w:rsidR="00FF56B1" w:rsidRPr="00FF56B1">
        <w:t>bibliothèques</w:t>
      </w:r>
      <w:r w:rsidR="003563AE">
        <w:t> »</w:t>
      </w:r>
      <w:r w:rsidR="00FF56B1" w:rsidRPr="00FF56B1">
        <w:t xml:space="preserve"> de ressources</w:t>
      </w:r>
      <w:r w:rsidR="003563AE">
        <w:t xml:space="preserve"> digitales</w:t>
      </w:r>
      <w:r w:rsidR="00FF56B1" w:rsidRPr="00FF56B1">
        <w:t xml:space="preserve"> (Fédération Wallonie</w:t>
      </w:r>
      <w:r w:rsidR="00FF56B1" w:rsidRPr="00FF56B1">
        <w:noBreakHyphen/>
        <w:t xml:space="preserve">Bruxelles, 2023). </w:t>
      </w:r>
    </w:p>
    <w:p w14:paraId="059A870D" w14:textId="003A781D" w:rsidR="00FF56B1" w:rsidRDefault="00FF56B1" w:rsidP="00FF56B1">
      <w:r w:rsidRPr="00FF56B1">
        <w:t>Les usages plus avancés</w:t>
      </w:r>
      <w:r w:rsidR="00914A52">
        <w:t xml:space="preserve">, </w:t>
      </w:r>
      <w:r w:rsidRPr="00FF56B1">
        <w:t>qualifiés de « transformatifs »</w:t>
      </w:r>
      <w:r w:rsidR="00261432">
        <w:t xml:space="preserve"> par le rapport </w:t>
      </w:r>
      <w:r w:rsidR="00261432">
        <w:t xml:space="preserve">(Fédération Wallonie-Bruxelles 2023 : 31), </w:t>
      </w:r>
      <w:r w:rsidRPr="00FF56B1">
        <w:t xml:space="preserve"> restent rares et concentrés chez certains opérateurs internationaux.</w:t>
      </w:r>
    </w:p>
    <w:p w14:paraId="143BA1C4" w14:textId="77777777" w:rsidR="00FF56B1" w:rsidRPr="00FF56B1" w:rsidRDefault="00FF56B1" w:rsidP="00FF56B1">
      <w:r w:rsidRPr="00FF56B1">
        <w:lastRenderedPageBreak/>
        <w:t>Deux obstacles majeurs sont identifiés (Fédération Wallonie</w:t>
      </w:r>
      <w:r w:rsidRPr="00FF56B1">
        <w:noBreakHyphen/>
        <w:t>Bruxelles, 2023 : 32) :</w:t>
      </w:r>
    </w:p>
    <w:p w14:paraId="38C2240A" w14:textId="77777777" w:rsidR="002F2025" w:rsidRDefault="002F2025" w:rsidP="00FF56B1">
      <w:pPr>
        <w:numPr>
          <w:ilvl w:val="0"/>
          <w:numId w:val="3"/>
        </w:numPr>
      </w:pPr>
      <w:r w:rsidRPr="002F2025">
        <w:rPr>
          <w:b/>
          <w:bCs/>
        </w:rPr>
        <w:t>Le développement insuffisant des compétences et de la motivation des enseignants</w:t>
      </w:r>
      <w:r>
        <w:t>, avec a) la difficulté à «attirer » des enseignants dans les formations et b) une réticence d’une partie des enseignants à l’adoption des outils digitaux, suite notamment au contrecoup de l’adoption « forcée » ayant pris place durant la pandémie du Covid-19</w:t>
      </w:r>
    </w:p>
    <w:p w14:paraId="41E91F71" w14:textId="7F8F5523" w:rsidR="00FF56B1" w:rsidRPr="00FF56B1" w:rsidRDefault="00FF56B1" w:rsidP="00FF56B1">
      <w:pPr>
        <w:numPr>
          <w:ilvl w:val="0"/>
          <w:numId w:val="3"/>
        </w:numPr>
      </w:pPr>
      <w:r w:rsidRPr="00FF56B1">
        <w:rPr>
          <w:b/>
          <w:bCs/>
        </w:rPr>
        <w:t>Manque de contenus pédagogiques digitaux ou hybrides de qualité</w:t>
      </w:r>
      <w:r w:rsidRPr="00FF56B1">
        <w:t>.</w:t>
      </w:r>
    </w:p>
    <w:p w14:paraId="2767FFD4" w14:textId="77777777" w:rsidR="00FF56B1" w:rsidRPr="00FF56B1" w:rsidRDefault="00FF56B1" w:rsidP="00FF56B1">
      <w:r w:rsidRPr="00FF56B1">
        <w:t>Par ailleurs, une partie du public adulte maîtrise encore difficilement les outils numériques, tandis que les jeunes adultes présentent des pratiques numériques et des attentes de flexibilité en évolution.</w:t>
      </w:r>
    </w:p>
    <w:p w14:paraId="5BCE3052" w14:textId="77777777" w:rsidR="00FF56B1" w:rsidRDefault="00FF56B1" w:rsidP="00FF56B1">
      <w:pPr>
        <w:rPr>
          <w:b/>
          <w:bCs/>
        </w:rPr>
      </w:pPr>
      <w:r w:rsidRPr="00FF56B1">
        <w:rPr>
          <w:b/>
          <w:bCs/>
        </w:rPr>
        <w:t>Demande d’étude</w:t>
      </w:r>
    </w:p>
    <w:p w14:paraId="6BE029E8" w14:textId="77777777" w:rsidR="00636A0F" w:rsidRPr="00636A0F" w:rsidRDefault="00636A0F" w:rsidP="00636A0F">
      <w:pPr>
        <w:rPr>
          <w:b/>
          <w:bCs/>
        </w:rPr>
      </w:pPr>
      <w:r w:rsidRPr="00636A0F">
        <w:t>A la lumière de ces constats et dans un contexte de digitalisation croissante de services publics y compris de l’enseignement</w:t>
      </w:r>
      <w:r w:rsidRPr="00636A0F">
        <w:rPr>
          <w:vertAlign w:val="superscript"/>
        </w:rPr>
        <w:footnoteReference w:id="5"/>
      </w:r>
      <w:r w:rsidRPr="00636A0F">
        <w:t>, le Cabinet ministériel souhaite que l’étude porte sur un ou plusieurs de ces axes suivants </w:t>
      </w:r>
      <w:r w:rsidRPr="00636A0F">
        <w:rPr>
          <w:b/>
          <w:bCs/>
        </w:rPr>
        <w:t>:</w:t>
      </w:r>
    </w:p>
    <w:p w14:paraId="4E6D2668" w14:textId="77777777" w:rsidR="00FF56B1" w:rsidRPr="00FF56B1" w:rsidRDefault="00FF56B1" w:rsidP="00FF56B1">
      <w:pPr>
        <w:numPr>
          <w:ilvl w:val="0"/>
          <w:numId w:val="4"/>
        </w:numPr>
      </w:pPr>
      <w:r w:rsidRPr="00FF56B1">
        <w:t>Les conditions organisationnelles, pédagogiques et professionnelles qui limitent ou favorisent l’introduction du numérique.</w:t>
      </w:r>
    </w:p>
    <w:p w14:paraId="4C674D6E" w14:textId="77777777" w:rsidR="00FF56B1" w:rsidRPr="00FF56B1" w:rsidRDefault="00FF56B1" w:rsidP="00FF56B1">
      <w:pPr>
        <w:numPr>
          <w:ilvl w:val="0"/>
          <w:numId w:val="4"/>
        </w:numPr>
      </w:pPr>
      <w:r w:rsidRPr="00FF56B1">
        <w:t>Les perceptions, pratiques et implications de l’usage des outils digitaux pour les différents acteurs.</w:t>
      </w:r>
    </w:p>
    <w:p w14:paraId="32125326" w14:textId="77777777" w:rsidR="00FF56B1" w:rsidRPr="00FF56B1" w:rsidRDefault="00FF56B1" w:rsidP="00FF56B1">
      <w:pPr>
        <w:numPr>
          <w:ilvl w:val="0"/>
          <w:numId w:val="4"/>
        </w:numPr>
      </w:pPr>
      <w:r w:rsidRPr="00FF56B1">
        <w:t>Les impacts sur les apprentissages des étudiants adultes.</w:t>
      </w:r>
    </w:p>
    <w:p w14:paraId="040C98A6" w14:textId="77777777" w:rsidR="00FF56B1" w:rsidRPr="00FF56B1" w:rsidRDefault="00FF56B1" w:rsidP="00FF56B1">
      <w:pPr>
        <w:numPr>
          <w:ilvl w:val="0"/>
          <w:numId w:val="4"/>
        </w:numPr>
      </w:pPr>
      <w:r w:rsidRPr="00FF56B1">
        <w:t>Le rôle des acteurs économiques, notamment privés, dans le développement et l’introduction des outils digitaux.</w:t>
      </w:r>
    </w:p>
    <w:p w14:paraId="7248C27D" w14:textId="77777777" w:rsidR="00FF56B1" w:rsidRPr="00FF56B1" w:rsidRDefault="00FF56B1" w:rsidP="00FF56B1">
      <w:pPr>
        <w:numPr>
          <w:ilvl w:val="0"/>
          <w:numId w:val="4"/>
        </w:numPr>
      </w:pPr>
      <w:r w:rsidRPr="00FF56B1">
        <w:t>Le rôle actuel et potentiel des acteurs publics, en particulier du ministère et de son administration.</w:t>
      </w:r>
    </w:p>
    <w:p w14:paraId="6C5A195D" w14:textId="77777777" w:rsidR="00FF56B1" w:rsidRPr="00FF56B1" w:rsidRDefault="00FF56B1" w:rsidP="00FF56B1">
      <w:pPr>
        <w:rPr>
          <w:b/>
          <w:bCs/>
        </w:rPr>
      </w:pPr>
      <w:r w:rsidRPr="00FF56B1">
        <w:rPr>
          <w:b/>
          <w:bCs/>
        </w:rPr>
        <w:t>Votre mission</w:t>
      </w:r>
    </w:p>
    <w:p w14:paraId="578BEA9D" w14:textId="77777777" w:rsidR="00FF56B1" w:rsidRPr="00FF56B1" w:rsidRDefault="00FF56B1" w:rsidP="00FF56B1">
      <w:r w:rsidRPr="00FF56B1">
        <w:t>À partir d’un ou plusieurs de ces axes :</w:t>
      </w:r>
    </w:p>
    <w:p w14:paraId="2DB45D2E" w14:textId="77777777" w:rsidR="00FF56B1" w:rsidRPr="00FF56B1" w:rsidRDefault="00FF56B1" w:rsidP="00FF56B1">
      <w:pPr>
        <w:numPr>
          <w:ilvl w:val="0"/>
          <w:numId w:val="5"/>
        </w:numPr>
      </w:pPr>
      <w:r w:rsidRPr="00FF56B1">
        <w:rPr>
          <w:b/>
          <w:bCs/>
        </w:rPr>
        <w:t>Identifier un ou plusieurs objets de recherche</w:t>
      </w:r>
      <w:r w:rsidRPr="00FF56B1">
        <w:t xml:space="preserve"> et préciser comment aborder ces questionnements.</w:t>
      </w:r>
    </w:p>
    <w:p w14:paraId="7B6786DF" w14:textId="77777777" w:rsidR="00FF56B1" w:rsidRPr="00FF56B1" w:rsidRDefault="00FF56B1" w:rsidP="00FF56B1">
      <w:pPr>
        <w:numPr>
          <w:ilvl w:val="0"/>
          <w:numId w:val="5"/>
        </w:numPr>
      </w:pPr>
      <w:r w:rsidRPr="00FF56B1">
        <w:rPr>
          <w:b/>
          <w:bCs/>
        </w:rPr>
        <w:t>Concevoir un dispositif méthodologique</w:t>
      </w:r>
      <w:r w:rsidRPr="00FF56B1">
        <w:t xml:space="preserve"> permettant d’examiner tout ou partie des préoccupations et mesures évoquées, en mobilisant les outils méthodologiques vus en atelier.</w:t>
      </w:r>
    </w:p>
    <w:p w14:paraId="4DAE1F0F" w14:textId="77777777" w:rsidR="00FF56B1" w:rsidRPr="00FF56B1" w:rsidRDefault="00FF56B1" w:rsidP="00FF56B1">
      <w:pPr>
        <w:numPr>
          <w:ilvl w:val="0"/>
          <w:numId w:val="5"/>
        </w:numPr>
      </w:pPr>
      <w:r w:rsidRPr="00FF56B1">
        <w:rPr>
          <w:b/>
          <w:bCs/>
        </w:rPr>
        <w:t>Préparer une synthèse</w:t>
      </w:r>
      <w:r w:rsidRPr="00FF56B1">
        <w:t xml:space="preserve"> par sous</w:t>
      </w:r>
      <w:r w:rsidRPr="00FF56B1">
        <w:noBreakHyphen/>
        <w:t>groupe, à présenter en 5 minutes.</w:t>
      </w:r>
    </w:p>
    <w:p w14:paraId="2BEA5AA4" w14:textId="77777777" w:rsidR="00FF56B1" w:rsidRPr="00FF56B1" w:rsidRDefault="00FF56B1" w:rsidP="00FF56B1">
      <w:pPr>
        <w:rPr>
          <w:b/>
          <w:bCs/>
        </w:rPr>
      </w:pPr>
      <w:r w:rsidRPr="00FF56B1">
        <w:rPr>
          <w:b/>
          <w:bCs/>
        </w:rPr>
        <w:lastRenderedPageBreak/>
        <w:t>Références</w:t>
      </w:r>
    </w:p>
    <w:p w14:paraId="58A41766" w14:textId="77777777" w:rsidR="00FF56B1" w:rsidRPr="00FF56B1" w:rsidRDefault="00FF56B1" w:rsidP="00FF56B1">
      <w:r w:rsidRPr="00FF56B1">
        <w:t xml:space="preserve">Bella, S. et al. (2024). </w:t>
      </w:r>
      <w:r w:rsidRPr="00FF56B1">
        <w:rPr>
          <w:i/>
          <w:iCs/>
        </w:rPr>
        <w:t>Enseigner à des adultes aujourd'hui</w:t>
      </w:r>
      <w:r w:rsidRPr="00FF56B1">
        <w:t>. Presses Universitaires de Louvain.</w:t>
      </w:r>
      <w:r w:rsidRPr="00FF56B1">
        <w:br/>
        <w:t>Fédération Wallonie</w:t>
      </w:r>
      <w:r w:rsidRPr="00FF56B1">
        <w:noBreakHyphen/>
        <w:t xml:space="preserve">Bruxelles (2023). </w:t>
      </w:r>
      <w:r w:rsidRPr="00FF56B1">
        <w:rPr>
          <w:i/>
          <w:iCs/>
        </w:rPr>
        <w:t>État des lieux de l’enseignement de promotion sociale</w:t>
      </w:r>
      <w:r w:rsidRPr="00FF56B1">
        <w:t>.</w:t>
      </w:r>
      <w:r w:rsidRPr="00FF56B1">
        <w:br/>
        <w:t xml:space="preserve">Pirson, J. (2021). </w:t>
      </w:r>
      <w:r w:rsidRPr="00FF56B1">
        <w:rPr>
          <w:i/>
          <w:iCs/>
        </w:rPr>
        <w:t>L’enseignement de promotion sociale au croisement des chemins</w:t>
      </w:r>
      <w:r w:rsidRPr="00FF56B1">
        <w:t xml:space="preserve">. Les Cahiers de recherche du </w:t>
      </w:r>
      <w:proofErr w:type="spellStart"/>
      <w:r w:rsidRPr="00FF56B1">
        <w:t>Girsef</w:t>
      </w:r>
      <w:proofErr w:type="spellEnd"/>
      <w:r w:rsidRPr="00FF56B1">
        <w:t>, (123).</w:t>
      </w:r>
      <w:r w:rsidRPr="00FF56B1">
        <w:br/>
      </w:r>
      <w:proofErr w:type="spellStart"/>
      <w:r w:rsidRPr="00FF56B1">
        <w:t>Vanderavero</w:t>
      </w:r>
      <w:proofErr w:type="spellEnd"/>
      <w:r w:rsidRPr="00FF56B1">
        <w:t xml:space="preserve">, P. (2024). </w:t>
      </w:r>
      <w:r w:rsidRPr="00FF56B1">
        <w:rPr>
          <w:i/>
          <w:iCs/>
        </w:rPr>
        <w:t>Quelle structure d’opportunités pour les étudiants adultes ?</w:t>
      </w:r>
      <w:r w:rsidRPr="00FF56B1">
        <w:t xml:space="preserve"> Les Cahiers de Recherche du </w:t>
      </w:r>
      <w:proofErr w:type="spellStart"/>
      <w:r w:rsidRPr="00FF56B1">
        <w:t>Girsef</w:t>
      </w:r>
      <w:proofErr w:type="spellEnd"/>
      <w:r w:rsidRPr="00FF56B1">
        <w:t>, (133).</w:t>
      </w:r>
    </w:p>
    <w:p w14:paraId="2A228B62" w14:textId="72C49A76" w:rsidR="00FF56B1" w:rsidRPr="00FF56B1" w:rsidRDefault="00FF56B1" w:rsidP="00FF56B1"/>
    <w:sectPr w:rsidR="00FF56B1" w:rsidRPr="00FF56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DA7B" w14:textId="77777777" w:rsidR="00FF56B1" w:rsidRDefault="00FF56B1" w:rsidP="00FF56B1">
      <w:pPr>
        <w:spacing w:after="0" w:line="240" w:lineRule="auto"/>
      </w:pPr>
      <w:r>
        <w:separator/>
      </w:r>
    </w:p>
  </w:endnote>
  <w:endnote w:type="continuationSeparator" w:id="0">
    <w:p w14:paraId="4567AB34" w14:textId="77777777" w:rsidR="00FF56B1" w:rsidRDefault="00FF56B1" w:rsidP="00FF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E1C9" w14:textId="77777777" w:rsidR="00FF56B1" w:rsidRDefault="00FF56B1" w:rsidP="00FF56B1">
      <w:pPr>
        <w:spacing w:after="0" w:line="240" w:lineRule="auto"/>
      </w:pPr>
      <w:r>
        <w:separator/>
      </w:r>
    </w:p>
  </w:footnote>
  <w:footnote w:type="continuationSeparator" w:id="0">
    <w:p w14:paraId="5FD44066" w14:textId="77777777" w:rsidR="00FF56B1" w:rsidRDefault="00FF56B1" w:rsidP="00FF56B1">
      <w:pPr>
        <w:spacing w:after="0" w:line="240" w:lineRule="auto"/>
      </w:pPr>
      <w:r>
        <w:continuationSeparator/>
      </w:r>
    </w:p>
  </w:footnote>
  <w:footnote w:id="1">
    <w:p w14:paraId="7C01DFDC" w14:textId="74BE45E6" w:rsidR="00FF56B1" w:rsidRPr="00FF56B1" w:rsidRDefault="00FF56B1">
      <w:pPr>
        <w:pStyle w:val="Notedebasdepage"/>
        <w:rPr>
          <w:lang w:val="fr-FR"/>
        </w:rPr>
      </w:pPr>
      <w:r>
        <w:rPr>
          <w:rStyle w:val="Appelnotedebasdep"/>
        </w:rPr>
        <w:footnoteRef/>
      </w:r>
      <w:r>
        <w:t xml:space="preserve"> </w:t>
      </w:r>
      <w:hyperlink r:id="rId1" w:history="1">
        <w:r w:rsidRPr="00824732">
          <w:rPr>
            <w:rStyle w:val="Lienhypertexte"/>
          </w:rPr>
          <w:t>https://enseignementpouradultes.be/</w:t>
        </w:r>
      </w:hyperlink>
    </w:p>
  </w:footnote>
  <w:footnote w:id="2">
    <w:p w14:paraId="0C7B7D36" w14:textId="7A91493E" w:rsidR="00FF56B1" w:rsidRPr="00FF56B1" w:rsidRDefault="00FF56B1">
      <w:pPr>
        <w:pStyle w:val="Notedebasdepage"/>
        <w:rPr>
          <w:lang w:val="fr-FR"/>
        </w:rPr>
      </w:pPr>
      <w:r>
        <w:rPr>
          <w:rStyle w:val="Appelnotedebasdep"/>
        </w:rPr>
        <w:footnoteRef/>
      </w:r>
      <w:r>
        <w:t xml:space="preserve"> </w:t>
      </w:r>
      <w:hyperlink r:id="rId2" w:history="1">
        <w:r w:rsidRPr="00035936">
          <w:rPr>
            <w:rStyle w:val="Lienhypertexte"/>
            <w:lang w:val="fr-FR"/>
          </w:rPr>
          <w:t>Lien vers le contrat  2035</w:t>
        </w:r>
      </w:hyperlink>
    </w:p>
  </w:footnote>
  <w:footnote w:id="3">
    <w:p w14:paraId="2447F77B" w14:textId="694ACE2D" w:rsidR="00FF56B1" w:rsidRPr="00FF56B1" w:rsidRDefault="00FF56B1">
      <w:pPr>
        <w:pStyle w:val="Notedebasdepage"/>
        <w:rPr>
          <w:lang w:val="fr-FR"/>
        </w:rPr>
      </w:pPr>
      <w:r>
        <w:rPr>
          <w:rStyle w:val="Appelnotedebasdep"/>
        </w:rPr>
        <w:footnoteRef/>
      </w:r>
      <w:r>
        <w:t xml:space="preserve"> </w:t>
      </w:r>
      <w:hyperlink r:id="rId3" w:history="1">
        <w:r w:rsidRPr="006141B0">
          <w:rPr>
            <w:rStyle w:val="Lienhypertexte"/>
          </w:rPr>
          <w:t>https://sfmq.cfwb.be/</w:t>
        </w:r>
      </w:hyperlink>
    </w:p>
  </w:footnote>
  <w:footnote w:id="4">
    <w:p w14:paraId="7C32AF2C" w14:textId="045507F8" w:rsidR="00FF56B1" w:rsidRPr="00FF56B1" w:rsidRDefault="00FF56B1">
      <w:pPr>
        <w:pStyle w:val="Notedebasdepage"/>
        <w:rPr>
          <w:lang w:val="fr-FR"/>
        </w:rPr>
      </w:pPr>
      <w:r>
        <w:rPr>
          <w:rStyle w:val="Appelnotedebasdep"/>
        </w:rPr>
        <w:footnoteRef/>
      </w:r>
      <w:r>
        <w:t xml:space="preserve"> </w:t>
      </w:r>
      <w:hyperlink r:id="rId4" w:history="1">
        <w:r w:rsidRPr="006141B0">
          <w:rPr>
            <w:rStyle w:val="Lienhypertexte"/>
          </w:rPr>
          <w:t>http://www.enseignement.be/upload/docs/000000000007/000000018707_ECEUSSIS.pdf</w:t>
        </w:r>
      </w:hyperlink>
    </w:p>
  </w:footnote>
  <w:footnote w:id="5">
    <w:p w14:paraId="11B49615" w14:textId="6A6FFC29" w:rsidR="00636A0F" w:rsidRPr="00FB4D6C" w:rsidRDefault="00636A0F" w:rsidP="00636A0F">
      <w:pPr>
        <w:pStyle w:val="Notedebasdepage"/>
        <w:rPr>
          <w:lang w:val="fr-FR"/>
        </w:rPr>
      </w:pPr>
      <w:r>
        <w:rPr>
          <w:rStyle w:val="Appelnotedebasdep"/>
        </w:rPr>
        <w:footnoteRef/>
      </w:r>
      <w:r>
        <w:t xml:space="preserve"> </w:t>
      </w:r>
      <w:hyperlink r:id="rId5" w:history="1">
        <w:r w:rsidR="00E44442" w:rsidRPr="006141B0">
          <w:rPr>
            <w:rStyle w:val="Lienhypertexte"/>
          </w:rPr>
          <w:t>https://www.digitalwallonia.be/fr/publications/enseignement-hybride/</w:t>
        </w:r>
      </w:hyperlink>
      <w:r w:rsidR="00E4444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89F"/>
    <w:multiLevelType w:val="multilevel"/>
    <w:tmpl w:val="9514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73802"/>
    <w:multiLevelType w:val="multilevel"/>
    <w:tmpl w:val="C828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31EC3"/>
    <w:multiLevelType w:val="multilevel"/>
    <w:tmpl w:val="A4CC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01421"/>
    <w:multiLevelType w:val="multilevel"/>
    <w:tmpl w:val="BA1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D4AB4"/>
    <w:multiLevelType w:val="multilevel"/>
    <w:tmpl w:val="2A10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04793B"/>
    <w:multiLevelType w:val="multilevel"/>
    <w:tmpl w:val="622C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254585">
    <w:abstractNumId w:val="5"/>
  </w:num>
  <w:num w:numId="2" w16cid:durableId="894698635">
    <w:abstractNumId w:val="0"/>
  </w:num>
  <w:num w:numId="3" w16cid:durableId="803356413">
    <w:abstractNumId w:val="1"/>
  </w:num>
  <w:num w:numId="4" w16cid:durableId="1651442771">
    <w:abstractNumId w:val="4"/>
  </w:num>
  <w:num w:numId="5" w16cid:durableId="1865172513">
    <w:abstractNumId w:val="2"/>
  </w:num>
  <w:num w:numId="6" w16cid:durableId="328212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B1"/>
    <w:rsid w:val="000556D7"/>
    <w:rsid w:val="00261432"/>
    <w:rsid w:val="0027019E"/>
    <w:rsid w:val="002F2025"/>
    <w:rsid w:val="00335DFB"/>
    <w:rsid w:val="00353191"/>
    <w:rsid w:val="003563AE"/>
    <w:rsid w:val="003D0482"/>
    <w:rsid w:val="004D1AF8"/>
    <w:rsid w:val="004E065B"/>
    <w:rsid w:val="00636A0F"/>
    <w:rsid w:val="006B5157"/>
    <w:rsid w:val="00767AB8"/>
    <w:rsid w:val="007873EB"/>
    <w:rsid w:val="00914A52"/>
    <w:rsid w:val="009335CA"/>
    <w:rsid w:val="00A205A0"/>
    <w:rsid w:val="00AE51D9"/>
    <w:rsid w:val="00C71ADF"/>
    <w:rsid w:val="00DB7C5E"/>
    <w:rsid w:val="00E44442"/>
    <w:rsid w:val="00FF56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20B5"/>
  <w15:chartTrackingRefBased/>
  <w15:docId w15:val="{EFDB7B99-134F-47C5-92FB-EBFE7622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5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5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56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56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56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56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56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56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56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56B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56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56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56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56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56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56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56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56B1"/>
    <w:rPr>
      <w:rFonts w:eastAsiaTheme="majorEastAsia" w:cstheme="majorBidi"/>
      <w:color w:val="272727" w:themeColor="text1" w:themeTint="D8"/>
    </w:rPr>
  </w:style>
  <w:style w:type="paragraph" w:styleId="Titre">
    <w:name w:val="Title"/>
    <w:basedOn w:val="Normal"/>
    <w:next w:val="Normal"/>
    <w:link w:val="TitreCar"/>
    <w:uiPriority w:val="10"/>
    <w:qFormat/>
    <w:rsid w:val="00FF5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56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56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56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56B1"/>
    <w:pPr>
      <w:spacing w:before="160"/>
      <w:jc w:val="center"/>
    </w:pPr>
    <w:rPr>
      <w:i/>
      <w:iCs/>
      <w:color w:val="404040" w:themeColor="text1" w:themeTint="BF"/>
    </w:rPr>
  </w:style>
  <w:style w:type="character" w:customStyle="1" w:styleId="CitationCar">
    <w:name w:val="Citation Car"/>
    <w:basedOn w:val="Policepardfaut"/>
    <w:link w:val="Citation"/>
    <w:uiPriority w:val="29"/>
    <w:rsid w:val="00FF56B1"/>
    <w:rPr>
      <w:i/>
      <w:iCs/>
      <w:color w:val="404040" w:themeColor="text1" w:themeTint="BF"/>
    </w:rPr>
  </w:style>
  <w:style w:type="paragraph" w:styleId="Paragraphedeliste">
    <w:name w:val="List Paragraph"/>
    <w:basedOn w:val="Normal"/>
    <w:uiPriority w:val="34"/>
    <w:qFormat/>
    <w:rsid w:val="00FF56B1"/>
    <w:pPr>
      <w:ind w:left="720"/>
      <w:contextualSpacing/>
    </w:pPr>
  </w:style>
  <w:style w:type="character" w:styleId="Accentuationintense">
    <w:name w:val="Intense Emphasis"/>
    <w:basedOn w:val="Policepardfaut"/>
    <w:uiPriority w:val="21"/>
    <w:qFormat/>
    <w:rsid w:val="00FF56B1"/>
    <w:rPr>
      <w:i/>
      <w:iCs/>
      <w:color w:val="0F4761" w:themeColor="accent1" w:themeShade="BF"/>
    </w:rPr>
  </w:style>
  <w:style w:type="paragraph" w:styleId="Citationintense">
    <w:name w:val="Intense Quote"/>
    <w:basedOn w:val="Normal"/>
    <w:next w:val="Normal"/>
    <w:link w:val="CitationintenseCar"/>
    <w:uiPriority w:val="30"/>
    <w:qFormat/>
    <w:rsid w:val="00FF5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56B1"/>
    <w:rPr>
      <w:i/>
      <w:iCs/>
      <w:color w:val="0F4761" w:themeColor="accent1" w:themeShade="BF"/>
    </w:rPr>
  </w:style>
  <w:style w:type="character" w:styleId="Rfrenceintense">
    <w:name w:val="Intense Reference"/>
    <w:basedOn w:val="Policepardfaut"/>
    <w:uiPriority w:val="32"/>
    <w:qFormat/>
    <w:rsid w:val="00FF56B1"/>
    <w:rPr>
      <w:b/>
      <w:bCs/>
      <w:smallCaps/>
      <w:color w:val="0F4761" w:themeColor="accent1" w:themeShade="BF"/>
      <w:spacing w:val="5"/>
    </w:rPr>
  </w:style>
  <w:style w:type="paragraph" w:styleId="Notedebasdepage">
    <w:name w:val="footnote text"/>
    <w:basedOn w:val="Normal"/>
    <w:link w:val="NotedebasdepageCar"/>
    <w:uiPriority w:val="99"/>
    <w:unhideWhenUsed/>
    <w:rsid w:val="00FF56B1"/>
    <w:pPr>
      <w:spacing w:after="0" w:line="240" w:lineRule="auto"/>
    </w:pPr>
    <w:rPr>
      <w:sz w:val="20"/>
      <w:szCs w:val="20"/>
    </w:rPr>
  </w:style>
  <w:style w:type="character" w:customStyle="1" w:styleId="NotedebasdepageCar">
    <w:name w:val="Note de bas de page Car"/>
    <w:basedOn w:val="Policepardfaut"/>
    <w:link w:val="Notedebasdepage"/>
    <w:uiPriority w:val="99"/>
    <w:rsid w:val="00FF56B1"/>
    <w:rPr>
      <w:sz w:val="20"/>
      <w:szCs w:val="20"/>
    </w:rPr>
  </w:style>
  <w:style w:type="character" w:styleId="Appelnotedebasdep">
    <w:name w:val="footnote reference"/>
    <w:basedOn w:val="Policepardfaut"/>
    <w:uiPriority w:val="99"/>
    <w:unhideWhenUsed/>
    <w:rsid w:val="00FF56B1"/>
    <w:rPr>
      <w:vertAlign w:val="superscript"/>
    </w:rPr>
  </w:style>
  <w:style w:type="character" w:styleId="Lienhypertexte">
    <w:name w:val="Hyperlink"/>
    <w:basedOn w:val="Policepardfaut"/>
    <w:uiPriority w:val="99"/>
    <w:unhideWhenUsed/>
    <w:rsid w:val="00FF56B1"/>
    <w:rPr>
      <w:color w:val="467886" w:themeColor="hyperlink"/>
      <w:u w:val="single"/>
    </w:rPr>
  </w:style>
  <w:style w:type="character" w:styleId="Mentionnonrsolue">
    <w:name w:val="Unresolved Mention"/>
    <w:basedOn w:val="Policepardfaut"/>
    <w:uiPriority w:val="99"/>
    <w:semiHidden/>
    <w:unhideWhenUsed/>
    <w:rsid w:val="00E44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fmq.cfwb.be/" TargetMode="External"/><Relationship Id="rId2" Type="http://schemas.openxmlformats.org/officeDocument/2006/relationships/hyperlink" Target="https://www.federation-wallonie-bruxelles.be/nc/detail-article/?tx_cfwbarticlefe_cfwbarticlefront%5Bpublication%5D=4948" TargetMode="External"/><Relationship Id="rId1" Type="http://schemas.openxmlformats.org/officeDocument/2006/relationships/hyperlink" Target="https://enseignementpouradultes.be/" TargetMode="External"/><Relationship Id="rId5" Type="http://schemas.openxmlformats.org/officeDocument/2006/relationships/hyperlink" Target="https://www.digitalwallonia.be/fr/publications/enseignement-hybride/" TargetMode="External"/><Relationship Id="rId4" Type="http://schemas.openxmlformats.org/officeDocument/2006/relationships/hyperlink" Target="http://www.enseignement.be/upload/docs/000000000007/000000018707_ECEUSSI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1465-BF11-4DC3-849C-DAB0A3D2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1038</Words>
  <Characters>5711</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Bussi</dc:creator>
  <cp:keywords/>
  <dc:description/>
  <cp:lastModifiedBy>Margherita Bussi</cp:lastModifiedBy>
  <cp:revision>23</cp:revision>
  <dcterms:created xsi:type="dcterms:W3CDTF">2026-03-16T22:58:00Z</dcterms:created>
  <dcterms:modified xsi:type="dcterms:W3CDTF">2026-03-16T23:09:00Z</dcterms:modified>
</cp:coreProperties>
</file>